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t>Economic Deprivation Questions</w:t>
      </w:r>
    </w:p>
    <w:p w:rsidR="0016596A"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t>Student’s Name</w:t>
      </w:r>
    </w:p>
    <w:p w:rsidR="0016596A"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t>Institution</w:t>
      </w:r>
    </w:p>
    <w:p w:rsidR="0016596A"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t>Course</w:t>
      </w:r>
    </w:p>
    <w:p w:rsidR="0016596A"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t>Professor’s Name</w:t>
      </w:r>
    </w:p>
    <w:p w:rsidR="0016596A"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t>Date</w:t>
      </w: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16596A" w:rsidP="00673455">
      <w:pPr>
        <w:spacing w:line="480" w:lineRule="auto"/>
        <w:ind w:firstLine="720"/>
        <w:jc w:val="center"/>
        <w:rPr>
          <w:rFonts w:ascii="Times New Roman" w:hAnsi="Times New Roman" w:cs="Times New Roman"/>
          <w:sz w:val="24"/>
          <w:szCs w:val="24"/>
        </w:rPr>
      </w:pPr>
    </w:p>
    <w:p w:rsidR="0016596A"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lastRenderedPageBreak/>
        <w:t>Economic Deprivation Questions</w:t>
      </w:r>
    </w:p>
    <w:p w:rsidR="0016596A" w:rsidRPr="00673455" w:rsidRDefault="00A60A67" w:rsidP="00673455">
      <w:pPr>
        <w:spacing w:line="480" w:lineRule="auto"/>
        <w:ind w:firstLine="720"/>
        <w:jc w:val="center"/>
        <w:rPr>
          <w:rFonts w:ascii="Times New Roman" w:hAnsi="Times New Roman" w:cs="Times New Roman"/>
          <w:b/>
          <w:bCs/>
          <w:sz w:val="24"/>
          <w:szCs w:val="24"/>
        </w:rPr>
      </w:pPr>
      <w:r w:rsidRPr="00673455">
        <w:rPr>
          <w:rFonts w:ascii="Times New Roman" w:hAnsi="Times New Roman" w:cs="Times New Roman"/>
          <w:b/>
          <w:bCs/>
          <w:sz w:val="24"/>
          <w:szCs w:val="24"/>
        </w:rPr>
        <w:t>Question One</w:t>
      </w:r>
    </w:p>
    <w:p w:rsidR="0016596A" w:rsidRPr="006630F8" w:rsidRDefault="00A60A67" w:rsidP="00673455">
      <w:pPr>
        <w:spacing w:line="480" w:lineRule="auto"/>
        <w:ind w:firstLine="720"/>
        <w:rPr>
          <w:rFonts w:ascii="Times New Roman" w:hAnsi="Times New Roman" w:cs="Times New Roman"/>
          <w:sz w:val="24"/>
          <w:szCs w:val="24"/>
        </w:rPr>
      </w:pPr>
      <w:r w:rsidRPr="006630F8">
        <w:rPr>
          <w:rFonts w:ascii="Times New Roman" w:hAnsi="Times New Roman" w:cs="Times New Roman"/>
          <w:sz w:val="24"/>
          <w:szCs w:val="24"/>
        </w:rPr>
        <w:t>Economic deprivation may lead to crime in several ways. First, economically deprived people tend to experience social inequalities firsthand</w:t>
      </w:r>
      <w:r w:rsidR="006630F8" w:rsidRPr="006630F8">
        <w:rPr>
          <w:rFonts w:ascii="Times New Roman" w:hAnsi="Times New Roman" w:cs="Times New Roman"/>
          <w:sz w:val="24"/>
          <w:szCs w:val="24"/>
        </w:rPr>
        <w:t xml:space="preserve"> (</w:t>
      </w:r>
      <w:r w:rsidR="006630F8" w:rsidRPr="006630F8">
        <w:rPr>
          <w:rFonts w:ascii="Times New Roman" w:hAnsi="Times New Roman" w:cs="Times New Roman"/>
          <w:color w:val="222222"/>
          <w:sz w:val="24"/>
          <w:szCs w:val="24"/>
          <w:shd w:val="clear" w:color="auto" w:fill="FFFFFF"/>
        </w:rPr>
        <w:t>Tuttle, 2021)</w:t>
      </w:r>
      <w:r w:rsidRPr="006630F8">
        <w:rPr>
          <w:rFonts w:ascii="Times New Roman" w:hAnsi="Times New Roman" w:cs="Times New Roman"/>
          <w:sz w:val="24"/>
          <w:szCs w:val="24"/>
        </w:rPr>
        <w:t xml:space="preserve">. These inequalities adversely affect the </w:t>
      </w:r>
      <w:r w:rsidR="00C817B9" w:rsidRPr="006630F8">
        <w:rPr>
          <w:rFonts w:ascii="Times New Roman" w:hAnsi="Times New Roman" w:cs="Times New Roman"/>
          <w:sz w:val="24"/>
          <w:szCs w:val="24"/>
        </w:rPr>
        <w:t>individual’s self</w:t>
      </w:r>
      <w:r w:rsidR="00C03B77" w:rsidRPr="006630F8">
        <w:rPr>
          <w:rFonts w:ascii="Times New Roman" w:hAnsi="Times New Roman" w:cs="Times New Roman"/>
          <w:sz w:val="24"/>
          <w:szCs w:val="24"/>
        </w:rPr>
        <w:t>-esteem</w:t>
      </w:r>
      <w:r w:rsidRPr="006630F8">
        <w:rPr>
          <w:rFonts w:ascii="Times New Roman" w:hAnsi="Times New Roman" w:cs="Times New Roman"/>
          <w:sz w:val="24"/>
          <w:szCs w:val="24"/>
        </w:rPr>
        <w:t xml:space="preserve">. As a result, they develop a negative self-image which may result in criminal behavior. Here, involvement in illegal actions offers immediate monetary gains and </w:t>
      </w:r>
      <w:r w:rsidR="00C03B77" w:rsidRPr="006630F8">
        <w:rPr>
          <w:rFonts w:ascii="Times New Roman" w:hAnsi="Times New Roman" w:cs="Times New Roman"/>
          <w:sz w:val="24"/>
          <w:szCs w:val="24"/>
        </w:rPr>
        <w:t>cushions their self-image and social competence feelings. This argument is based on the thesis of powerlessness. This thesis argues that criminal and delinquent actions act as attempts to create a mark, be noticed, and gain identity.</w:t>
      </w:r>
    </w:p>
    <w:p w:rsidR="00C03B77" w:rsidRPr="006630F8" w:rsidRDefault="00A60A67" w:rsidP="00673455">
      <w:pPr>
        <w:spacing w:line="480" w:lineRule="auto"/>
        <w:ind w:firstLine="720"/>
        <w:rPr>
          <w:rFonts w:ascii="Times New Roman" w:hAnsi="Times New Roman" w:cs="Times New Roman"/>
          <w:sz w:val="24"/>
          <w:szCs w:val="24"/>
        </w:rPr>
      </w:pPr>
      <w:r w:rsidRPr="006630F8">
        <w:rPr>
          <w:rFonts w:ascii="Times New Roman" w:hAnsi="Times New Roman" w:cs="Times New Roman"/>
          <w:sz w:val="24"/>
          <w:szCs w:val="24"/>
        </w:rPr>
        <w:t xml:space="preserve">According to </w:t>
      </w:r>
      <w:r w:rsidRPr="006630F8">
        <w:rPr>
          <w:rFonts w:ascii="Times New Roman" w:hAnsi="Times New Roman" w:cs="Times New Roman"/>
          <w:color w:val="222222"/>
          <w:sz w:val="24"/>
          <w:szCs w:val="24"/>
          <w:shd w:val="clear" w:color="auto" w:fill="FFFFFF"/>
        </w:rPr>
        <w:t>Tuttle</w:t>
      </w:r>
      <w:r w:rsidRPr="006630F8">
        <w:rPr>
          <w:rFonts w:ascii="Times New Roman" w:hAnsi="Times New Roman" w:cs="Times New Roman"/>
          <w:sz w:val="24"/>
          <w:szCs w:val="24"/>
        </w:rPr>
        <w:t xml:space="preserve"> (2021), economic deprivation may be considered a type of strain. Here, stress arises from the social settings that place a </w:t>
      </w:r>
      <w:r w:rsidR="009F662F" w:rsidRPr="006630F8">
        <w:rPr>
          <w:rFonts w:ascii="Times New Roman" w:hAnsi="Times New Roman" w:cs="Times New Roman"/>
          <w:sz w:val="24"/>
          <w:szCs w:val="24"/>
        </w:rPr>
        <w:t xml:space="preserve">high premium on economic prosperity and social spring for its members. This designed expectation is considered universally appropriate despite the different histories for the people. Consequently, individuals view failure as double defeat in the races for success. In such cultural settings, the risk of defeat motivates a person to utilize his skills and abilities beyond the law, which promises 'success.' It is crucial to note that the moral mandate to succeed may create immense pressure on society members. This pressure makes these people view crime as an innovative response to failure since it </w:t>
      </w:r>
      <w:r w:rsidR="007D247C" w:rsidRPr="006630F8">
        <w:rPr>
          <w:rFonts w:ascii="Times New Roman" w:hAnsi="Times New Roman" w:cs="Times New Roman"/>
          <w:sz w:val="24"/>
          <w:szCs w:val="24"/>
        </w:rPr>
        <w:t>ensures 'prosperity.'</w:t>
      </w:r>
    </w:p>
    <w:p w:rsidR="007D247C" w:rsidRPr="006630F8" w:rsidRDefault="00A60A67" w:rsidP="00673455">
      <w:pPr>
        <w:spacing w:line="480" w:lineRule="auto"/>
        <w:ind w:firstLine="720"/>
        <w:rPr>
          <w:rFonts w:ascii="Times New Roman" w:hAnsi="Times New Roman" w:cs="Times New Roman"/>
          <w:sz w:val="24"/>
          <w:szCs w:val="24"/>
        </w:rPr>
      </w:pPr>
      <w:r w:rsidRPr="006630F8">
        <w:rPr>
          <w:rFonts w:ascii="Times New Roman" w:hAnsi="Times New Roman" w:cs="Times New Roman"/>
          <w:sz w:val="24"/>
          <w:szCs w:val="24"/>
        </w:rPr>
        <w:t>Lastly, economic inferiority may cause social disorganization. Here, the informal social controls on the community members become less effective</w:t>
      </w:r>
      <w:r w:rsidR="006630F8" w:rsidRPr="006630F8">
        <w:rPr>
          <w:rFonts w:ascii="Times New Roman" w:hAnsi="Times New Roman" w:cs="Times New Roman"/>
          <w:sz w:val="24"/>
          <w:szCs w:val="24"/>
        </w:rPr>
        <w:t xml:space="preserve"> (</w:t>
      </w:r>
      <w:r w:rsidR="006630F8" w:rsidRPr="006630F8">
        <w:rPr>
          <w:rFonts w:ascii="Times New Roman" w:hAnsi="Times New Roman" w:cs="Times New Roman"/>
          <w:color w:val="222222"/>
          <w:sz w:val="24"/>
          <w:szCs w:val="24"/>
          <w:shd w:val="clear" w:color="auto" w:fill="FFFFFF"/>
        </w:rPr>
        <w:t>Berti &amp; Pivetti, 2019)</w:t>
      </w:r>
      <w:r w:rsidRPr="006630F8">
        <w:rPr>
          <w:rFonts w:ascii="Times New Roman" w:hAnsi="Times New Roman" w:cs="Times New Roman"/>
          <w:sz w:val="24"/>
          <w:szCs w:val="24"/>
        </w:rPr>
        <w:t xml:space="preserve">. For example, economic struggles may decrease child supervision and socialization directly or indirectly. Directly, parents and guardians spend most of the time in activities to earn income, causing a disconnection to their social parenting responsibilities. Indirectly, economic problems may cause </w:t>
      </w:r>
      <w:r w:rsidRPr="006630F8">
        <w:rPr>
          <w:rFonts w:ascii="Times New Roman" w:hAnsi="Times New Roman" w:cs="Times New Roman"/>
          <w:sz w:val="24"/>
          <w:szCs w:val="24"/>
        </w:rPr>
        <w:lastRenderedPageBreak/>
        <w:t>family breakups that leave children devastated and vulnerable to illicit behavior. Financial hardships may also reduce social trust, which ultimately leads to social disorganization. This disorganization fosters the development of criminal behavior since it makes it difficult to control what people should or should not do.</w:t>
      </w:r>
    </w:p>
    <w:p w:rsidR="007D247C" w:rsidRPr="00673455" w:rsidRDefault="00A60A67" w:rsidP="00673455">
      <w:pPr>
        <w:spacing w:line="480" w:lineRule="auto"/>
        <w:ind w:firstLine="720"/>
        <w:jc w:val="center"/>
        <w:rPr>
          <w:rFonts w:ascii="Times New Roman" w:hAnsi="Times New Roman" w:cs="Times New Roman"/>
          <w:b/>
          <w:bCs/>
          <w:sz w:val="24"/>
          <w:szCs w:val="24"/>
        </w:rPr>
      </w:pPr>
      <w:r w:rsidRPr="00673455">
        <w:rPr>
          <w:rFonts w:ascii="Times New Roman" w:hAnsi="Times New Roman" w:cs="Times New Roman"/>
          <w:b/>
          <w:bCs/>
          <w:sz w:val="24"/>
          <w:szCs w:val="24"/>
        </w:rPr>
        <w:t>Question Two</w:t>
      </w:r>
    </w:p>
    <w:p w:rsidR="003105E3" w:rsidRPr="006630F8" w:rsidRDefault="00A60A67" w:rsidP="00673455">
      <w:pPr>
        <w:spacing w:line="480" w:lineRule="auto"/>
        <w:ind w:firstLine="720"/>
        <w:rPr>
          <w:rFonts w:ascii="Times New Roman" w:hAnsi="Times New Roman" w:cs="Times New Roman"/>
          <w:sz w:val="24"/>
          <w:szCs w:val="24"/>
        </w:rPr>
      </w:pPr>
      <w:r w:rsidRPr="006630F8">
        <w:rPr>
          <w:rFonts w:ascii="Times New Roman" w:hAnsi="Times New Roman" w:cs="Times New Roman"/>
          <w:sz w:val="24"/>
          <w:szCs w:val="24"/>
        </w:rPr>
        <w:t xml:space="preserve">Although economically disadvantaged people tend to be more vulnerable to crime, it </w:t>
      </w:r>
      <w:r w:rsidR="00952882" w:rsidRPr="006630F8">
        <w:rPr>
          <w:rFonts w:ascii="Times New Roman" w:hAnsi="Times New Roman" w:cs="Times New Roman"/>
          <w:sz w:val="24"/>
          <w:szCs w:val="24"/>
        </w:rPr>
        <w:t>does</w:t>
      </w:r>
      <w:r w:rsidRPr="006630F8">
        <w:rPr>
          <w:rFonts w:ascii="Times New Roman" w:hAnsi="Times New Roman" w:cs="Times New Roman"/>
          <w:sz w:val="24"/>
          <w:szCs w:val="24"/>
        </w:rPr>
        <w:t xml:space="preserve"> not necessarily imply that living in such conditions will eventually result in criminal conduct. There are supporting </w:t>
      </w:r>
      <w:r w:rsidR="00952882" w:rsidRPr="006630F8">
        <w:rPr>
          <w:rFonts w:ascii="Times New Roman" w:hAnsi="Times New Roman" w:cs="Times New Roman"/>
          <w:sz w:val="24"/>
          <w:szCs w:val="24"/>
        </w:rPr>
        <w:t>factors</w:t>
      </w:r>
      <w:r w:rsidRPr="006630F8">
        <w:rPr>
          <w:rFonts w:ascii="Times New Roman" w:hAnsi="Times New Roman" w:cs="Times New Roman"/>
          <w:sz w:val="24"/>
          <w:szCs w:val="24"/>
        </w:rPr>
        <w:t xml:space="preserve"> that push people to engage in crime in addition to economic adversaries. These factors may not be universal to all people making it </w:t>
      </w:r>
      <w:r w:rsidR="00952882" w:rsidRPr="006630F8">
        <w:rPr>
          <w:rFonts w:ascii="Times New Roman" w:hAnsi="Times New Roman" w:cs="Times New Roman"/>
          <w:sz w:val="24"/>
          <w:szCs w:val="24"/>
        </w:rPr>
        <w:t>difficult</w:t>
      </w:r>
      <w:r w:rsidRPr="006630F8">
        <w:rPr>
          <w:rFonts w:ascii="Times New Roman" w:hAnsi="Times New Roman" w:cs="Times New Roman"/>
          <w:sz w:val="24"/>
          <w:szCs w:val="24"/>
        </w:rPr>
        <w:t xml:space="preserve"> to associate all disadvantaged people with crime. For example, some people have resilience and good hopes for a better future regardless of their current or past life. These people are not easy to bow down to pressure from society. For such people, a belief exists that </w:t>
      </w:r>
      <w:r w:rsidR="00952882" w:rsidRPr="006630F8">
        <w:rPr>
          <w:rFonts w:ascii="Times New Roman" w:hAnsi="Times New Roman" w:cs="Times New Roman"/>
          <w:sz w:val="24"/>
          <w:szCs w:val="24"/>
        </w:rPr>
        <w:t>someday</w:t>
      </w:r>
      <w:r w:rsidRPr="006630F8">
        <w:rPr>
          <w:rFonts w:ascii="Times New Roman" w:hAnsi="Times New Roman" w:cs="Times New Roman"/>
          <w:sz w:val="24"/>
          <w:szCs w:val="24"/>
        </w:rPr>
        <w:t xml:space="preserve">, they will achieve their dreams rightfully no matter how long it might take. </w:t>
      </w:r>
    </w:p>
    <w:p w:rsidR="00952882" w:rsidRPr="006630F8" w:rsidRDefault="00A60A67" w:rsidP="00673455">
      <w:pPr>
        <w:spacing w:line="480" w:lineRule="auto"/>
        <w:ind w:firstLine="720"/>
        <w:rPr>
          <w:rFonts w:ascii="Times New Roman" w:hAnsi="Times New Roman" w:cs="Times New Roman"/>
          <w:sz w:val="24"/>
          <w:szCs w:val="24"/>
        </w:rPr>
      </w:pPr>
      <w:r w:rsidRPr="006630F8">
        <w:rPr>
          <w:rFonts w:ascii="Times New Roman" w:hAnsi="Times New Roman" w:cs="Times New Roman"/>
          <w:sz w:val="24"/>
          <w:szCs w:val="24"/>
        </w:rPr>
        <w:t>The issue of governance may also pl</w:t>
      </w:r>
      <w:r w:rsidR="006630F8" w:rsidRPr="006630F8">
        <w:rPr>
          <w:rFonts w:ascii="Times New Roman" w:hAnsi="Times New Roman" w:cs="Times New Roman"/>
          <w:sz w:val="24"/>
          <w:szCs w:val="24"/>
        </w:rPr>
        <w:t>a</w:t>
      </w:r>
      <w:r w:rsidRPr="006630F8">
        <w:rPr>
          <w:rFonts w:ascii="Times New Roman" w:hAnsi="Times New Roman" w:cs="Times New Roman"/>
          <w:sz w:val="24"/>
          <w:szCs w:val="24"/>
        </w:rPr>
        <w:t xml:space="preserve">y a role in encouraging or discouraging crime in society. Economically disadvantaged people may avoid criminal behavior easily when the government seems to care for them. Here, the promise of employment and government policies to support the poor may positively impact the communities, hence reducing the people's exposure to criminal activities. </w:t>
      </w:r>
    </w:p>
    <w:p w:rsidR="006630F8" w:rsidRPr="006630F8" w:rsidRDefault="00A60A67" w:rsidP="00673455">
      <w:pPr>
        <w:spacing w:line="480" w:lineRule="auto"/>
        <w:ind w:firstLine="720"/>
        <w:rPr>
          <w:rFonts w:ascii="Times New Roman" w:hAnsi="Times New Roman" w:cs="Times New Roman"/>
          <w:sz w:val="24"/>
          <w:szCs w:val="24"/>
        </w:rPr>
      </w:pPr>
      <w:r w:rsidRPr="006630F8">
        <w:rPr>
          <w:rFonts w:ascii="Times New Roman" w:hAnsi="Times New Roman" w:cs="Times New Roman"/>
          <w:sz w:val="24"/>
          <w:szCs w:val="24"/>
        </w:rPr>
        <w:t>Lastly, social support may also help mitigate the problems associated with economic deprivation (</w:t>
      </w:r>
      <w:r w:rsidRPr="006630F8">
        <w:rPr>
          <w:rFonts w:ascii="Times New Roman" w:hAnsi="Times New Roman" w:cs="Times New Roman"/>
          <w:color w:val="222222"/>
          <w:sz w:val="24"/>
          <w:szCs w:val="24"/>
          <w:shd w:val="clear" w:color="auto" w:fill="FFFFFF"/>
        </w:rPr>
        <w:t>Tuttle, 2021)</w:t>
      </w:r>
      <w:r w:rsidRPr="006630F8">
        <w:rPr>
          <w:rFonts w:ascii="Times New Roman" w:hAnsi="Times New Roman" w:cs="Times New Roman"/>
          <w:sz w:val="24"/>
          <w:szCs w:val="24"/>
        </w:rPr>
        <w:t xml:space="preserve">. Various society institutions such as the church and non-governmental organizations play this role. For example, churches may start community projects such as vocational training colleges for people to achieve skills such as tailoring. Once people get these </w:t>
      </w:r>
      <w:r w:rsidRPr="006630F8">
        <w:rPr>
          <w:rFonts w:ascii="Times New Roman" w:hAnsi="Times New Roman" w:cs="Times New Roman"/>
          <w:sz w:val="24"/>
          <w:szCs w:val="24"/>
        </w:rPr>
        <w:lastRenderedPageBreak/>
        <w:t>skills, the church may further support them with starting capital or help them to find employment. Non-governmental organizations may undertake to help poor parents educate their kids. These activities may improve morale and increase the hopes for a bright future. Consequently, the resolve to engage in crime for assured short-term economic gains is reduced.</w:t>
      </w:r>
    </w:p>
    <w:p w:rsidR="006630F8" w:rsidRPr="006630F8" w:rsidRDefault="00A60A67" w:rsidP="00673455">
      <w:pPr>
        <w:spacing w:line="480" w:lineRule="auto"/>
        <w:rPr>
          <w:rFonts w:ascii="Times New Roman" w:hAnsi="Times New Roman" w:cs="Times New Roman"/>
          <w:sz w:val="24"/>
          <w:szCs w:val="24"/>
        </w:rPr>
      </w:pPr>
      <w:r w:rsidRPr="006630F8">
        <w:rPr>
          <w:rFonts w:ascii="Times New Roman" w:hAnsi="Times New Roman" w:cs="Times New Roman"/>
          <w:sz w:val="24"/>
          <w:szCs w:val="24"/>
        </w:rPr>
        <w:br w:type="page"/>
      </w:r>
    </w:p>
    <w:p w:rsidR="006630F8" w:rsidRPr="006630F8" w:rsidRDefault="00A60A67" w:rsidP="00673455">
      <w:pPr>
        <w:spacing w:line="480" w:lineRule="auto"/>
        <w:ind w:firstLine="720"/>
        <w:jc w:val="center"/>
        <w:rPr>
          <w:rFonts w:ascii="Times New Roman" w:hAnsi="Times New Roman" w:cs="Times New Roman"/>
          <w:sz w:val="24"/>
          <w:szCs w:val="24"/>
        </w:rPr>
      </w:pPr>
      <w:r w:rsidRPr="006630F8">
        <w:rPr>
          <w:rFonts w:ascii="Times New Roman" w:hAnsi="Times New Roman" w:cs="Times New Roman"/>
          <w:sz w:val="24"/>
          <w:szCs w:val="24"/>
        </w:rPr>
        <w:lastRenderedPageBreak/>
        <w:t>References</w:t>
      </w:r>
    </w:p>
    <w:p w:rsidR="006630F8" w:rsidRPr="006630F8" w:rsidRDefault="00A60A67" w:rsidP="00673455">
      <w:pPr>
        <w:spacing w:line="480" w:lineRule="auto"/>
        <w:ind w:left="720" w:hanging="720"/>
        <w:rPr>
          <w:rFonts w:ascii="Times New Roman" w:hAnsi="Times New Roman" w:cs="Times New Roman"/>
          <w:color w:val="222222"/>
          <w:sz w:val="24"/>
          <w:szCs w:val="24"/>
          <w:shd w:val="clear" w:color="auto" w:fill="FFFFFF"/>
        </w:rPr>
      </w:pPr>
      <w:r w:rsidRPr="006630F8">
        <w:rPr>
          <w:rFonts w:ascii="Times New Roman" w:hAnsi="Times New Roman" w:cs="Times New Roman"/>
          <w:color w:val="222222"/>
          <w:sz w:val="24"/>
          <w:szCs w:val="24"/>
          <w:shd w:val="clear" w:color="auto" w:fill="FFFFFF"/>
        </w:rPr>
        <w:t>Berti, C., &amp; Pivetti, M. (2019). Childhood economic disadvantage and antisocial behavior: Intervening factors and pathways. </w:t>
      </w:r>
      <w:r w:rsidRPr="006630F8">
        <w:rPr>
          <w:rFonts w:ascii="Times New Roman" w:hAnsi="Times New Roman" w:cs="Times New Roman"/>
          <w:i/>
          <w:iCs/>
          <w:color w:val="222222"/>
          <w:sz w:val="24"/>
          <w:szCs w:val="24"/>
          <w:shd w:val="clear" w:color="auto" w:fill="FFFFFF"/>
        </w:rPr>
        <w:t>Children and Youth Services Review</w:t>
      </w:r>
      <w:r w:rsidRPr="006630F8">
        <w:rPr>
          <w:rFonts w:ascii="Times New Roman" w:hAnsi="Times New Roman" w:cs="Times New Roman"/>
          <w:color w:val="222222"/>
          <w:sz w:val="24"/>
          <w:szCs w:val="24"/>
          <w:shd w:val="clear" w:color="auto" w:fill="FFFFFF"/>
        </w:rPr>
        <w:t>, </w:t>
      </w:r>
      <w:r w:rsidRPr="006630F8">
        <w:rPr>
          <w:rFonts w:ascii="Times New Roman" w:hAnsi="Times New Roman" w:cs="Times New Roman"/>
          <w:i/>
          <w:iCs/>
          <w:color w:val="222222"/>
          <w:sz w:val="24"/>
          <w:szCs w:val="24"/>
          <w:shd w:val="clear" w:color="auto" w:fill="FFFFFF"/>
        </w:rPr>
        <w:t>97</w:t>
      </w:r>
      <w:r w:rsidRPr="006630F8">
        <w:rPr>
          <w:rFonts w:ascii="Times New Roman" w:hAnsi="Times New Roman" w:cs="Times New Roman"/>
          <w:color w:val="222222"/>
          <w:sz w:val="24"/>
          <w:szCs w:val="24"/>
          <w:shd w:val="clear" w:color="auto" w:fill="FFFFFF"/>
        </w:rPr>
        <w:t>, 120-126.</w:t>
      </w:r>
    </w:p>
    <w:p w:rsidR="006630F8" w:rsidRPr="006630F8" w:rsidRDefault="00A60A67" w:rsidP="00673455">
      <w:pPr>
        <w:spacing w:line="480" w:lineRule="auto"/>
        <w:ind w:left="720" w:hanging="720"/>
        <w:rPr>
          <w:rFonts w:ascii="Times New Roman" w:hAnsi="Times New Roman" w:cs="Times New Roman"/>
          <w:sz w:val="24"/>
          <w:szCs w:val="24"/>
        </w:rPr>
      </w:pPr>
      <w:r w:rsidRPr="006630F8">
        <w:rPr>
          <w:rFonts w:ascii="Times New Roman" w:hAnsi="Times New Roman" w:cs="Times New Roman"/>
          <w:color w:val="222222"/>
          <w:sz w:val="24"/>
          <w:szCs w:val="24"/>
          <w:shd w:val="clear" w:color="auto" w:fill="FFFFFF"/>
        </w:rPr>
        <w:t>Tuttle, J. (2021). Inequality, concentrated disadvantage, and homicide: towards a multi-level theory of economic inequality and crime. </w:t>
      </w:r>
      <w:r w:rsidRPr="006630F8">
        <w:rPr>
          <w:rFonts w:ascii="Times New Roman" w:hAnsi="Times New Roman" w:cs="Times New Roman"/>
          <w:i/>
          <w:iCs/>
          <w:color w:val="222222"/>
          <w:sz w:val="24"/>
          <w:szCs w:val="24"/>
          <w:shd w:val="clear" w:color="auto" w:fill="FFFFFF"/>
        </w:rPr>
        <w:t>International Journal of Comparative and Applied Criminal Justice</w:t>
      </w:r>
      <w:r w:rsidRPr="006630F8">
        <w:rPr>
          <w:rFonts w:ascii="Times New Roman" w:hAnsi="Times New Roman" w:cs="Times New Roman"/>
          <w:color w:val="222222"/>
          <w:sz w:val="24"/>
          <w:szCs w:val="24"/>
          <w:shd w:val="clear" w:color="auto" w:fill="FFFFFF"/>
        </w:rPr>
        <w:t>, 1-18.</w:t>
      </w:r>
    </w:p>
    <w:sectPr w:rsidR="006630F8" w:rsidRPr="006630F8" w:rsidSect="00BB660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146" w:rsidRDefault="004C3146">
      <w:pPr>
        <w:spacing w:after="0" w:line="240" w:lineRule="auto"/>
      </w:pPr>
      <w:r>
        <w:separator/>
      </w:r>
    </w:p>
  </w:endnote>
  <w:endnote w:type="continuationSeparator" w:id="1">
    <w:p w:rsidR="004C3146" w:rsidRDefault="004C31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146" w:rsidRDefault="004C3146">
      <w:pPr>
        <w:spacing w:after="0" w:line="240" w:lineRule="auto"/>
      </w:pPr>
      <w:r>
        <w:separator/>
      </w:r>
    </w:p>
  </w:footnote>
  <w:footnote w:type="continuationSeparator" w:id="1">
    <w:p w:rsidR="004C3146" w:rsidRDefault="004C31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0797432"/>
      <w:docPartObj>
        <w:docPartGallery w:val="Page Numbers (Top of Page)"/>
        <w:docPartUnique/>
      </w:docPartObj>
    </w:sdtPr>
    <w:sdtEndPr>
      <w:rPr>
        <w:rFonts w:ascii="Times New Roman" w:hAnsi="Times New Roman" w:cs="Times New Roman"/>
        <w:noProof/>
        <w:sz w:val="24"/>
        <w:szCs w:val="24"/>
      </w:rPr>
    </w:sdtEndPr>
    <w:sdtContent>
      <w:p w:rsidR="0016596A" w:rsidRPr="0016596A" w:rsidRDefault="005A49E4">
        <w:pPr>
          <w:pStyle w:val="Header"/>
          <w:jc w:val="right"/>
          <w:rPr>
            <w:rFonts w:ascii="Times New Roman" w:hAnsi="Times New Roman" w:cs="Times New Roman"/>
            <w:sz w:val="24"/>
            <w:szCs w:val="24"/>
          </w:rPr>
        </w:pPr>
        <w:r w:rsidRPr="0016596A">
          <w:rPr>
            <w:rFonts w:ascii="Times New Roman" w:hAnsi="Times New Roman" w:cs="Times New Roman"/>
            <w:sz w:val="24"/>
            <w:szCs w:val="24"/>
          </w:rPr>
          <w:fldChar w:fldCharType="begin"/>
        </w:r>
        <w:r w:rsidR="00A60A67" w:rsidRPr="0016596A">
          <w:rPr>
            <w:rFonts w:ascii="Times New Roman" w:hAnsi="Times New Roman" w:cs="Times New Roman"/>
            <w:sz w:val="24"/>
            <w:szCs w:val="24"/>
          </w:rPr>
          <w:instrText xml:space="preserve"> PAGE   \* MERGEFORMAT </w:instrText>
        </w:r>
        <w:r w:rsidRPr="0016596A">
          <w:rPr>
            <w:rFonts w:ascii="Times New Roman" w:hAnsi="Times New Roman" w:cs="Times New Roman"/>
            <w:sz w:val="24"/>
            <w:szCs w:val="24"/>
          </w:rPr>
          <w:fldChar w:fldCharType="separate"/>
        </w:r>
        <w:r w:rsidR="00345C7F">
          <w:rPr>
            <w:rFonts w:ascii="Times New Roman" w:hAnsi="Times New Roman" w:cs="Times New Roman"/>
            <w:noProof/>
            <w:sz w:val="24"/>
            <w:szCs w:val="24"/>
          </w:rPr>
          <w:t>5</w:t>
        </w:r>
        <w:r w:rsidRPr="0016596A">
          <w:rPr>
            <w:rFonts w:ascii="Times New Roman" w:hAnsi="Times New Roman" w:cs="Times New Roman"/>
            <w:noProof/>
            <w:sz w:val="24"/>
            <w:szCs w:val="24"/>
          </w:rPr>
          <w:fldChar w:fldCharType="end"/>
        </w:r>
      </w:p>
    </w:sdtContent>
  </w:sdt>
  <w:p w:rsidR="0016596A" w:rsidRDefault="0016596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6596A"/>
    <w:rsid w:val="0016596A"/>
    <w:rsid w:val="0024673C"/>
    <w:rsid w:val="003105E3"/>
    <w:rsid w:val="00345C7F"/>
    <w:rsid w:val="004C3146"/>
    <w:rsid w:val="0054274A"/>
    <w:rsid w:val="005A49E4"/>
    <w:rsid w:val="005B4C18"/>
    <w:rsid w:val="006630F8"/>
    <w:rsid w:val="00673455"/>
    <w:rsid w:val="007D247C"/>
    <w:rsid w:val="00952882"/>
    <w:rsid w:val="009E4AAE"/>
    <w:rsid w:val="009F662F"/>
    <w:rsid w:val="00A60A67"/>
    <w:rsid w:val="00BB660B"/>
    <w:rsid w:val="00C03B77"/>
    <w:rsid w:val="00C817B9"/>
    <w:rsid w:val="00D203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6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96A"/>
  </w:style>
  <w:style w:type="paragraph" w:styleId="Footer">
    <w:name w:val="footer"/>
    <w:basedOn w:val="Normal"/>
    <w:link w:val="FooterChar"/>
    <w:uiPriority w:val="99"/>
    <w:unhideWhenUsed/>
    <w:rsid w:val="00165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9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2021-09-25T06:50:00Z</dcterms:created>
  <dcterms:modified xsi:type="dcterms:W3CDTF">2021-09-25T06:50:00Z</dcterms:modified>
</cp:coreProperties>
</file>